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F9AC" w14:textId="77777777" w:rsidR="00F53E30" w:rsidRDefault="00F53E30" w:rsidP="00F53E30">
      <w:pPr>
        <w:ind w:firstLine="720"/>
        <w:jc w:val="center"/>
        <w:rPr>
          <w:b/>
        </w:rPr>
      </w:pPr>
    </w:p>
    <w:p w14:paraId="729BE8CD" w14:textId="345BBF19" w:rsidR="00F53E30" w:rsidRPr="00F53E30" w:rsidRDefault="00F53E30" w:rsidP="00F53E30">
      <w:pPr>
        <w:ind w:firstLine="720"/>
        <w:jc w:val="center"/>
        <w:rPr>
          <w:b/>
        </w:rPr>
      </w:pPr>
      <w:r w:rsidRPr="000109C4">
        <w:rPr>
          <w:b/>
        </w:rPr>
        <w:t>Statement of Facts- Elizabeth “Betsy” Gardner</w:t>
      </w:r>
    </w:p>
    <w:p w14:paraId="623EE2BD" w14:textId="77777777" w:rsidR="00F53E30" w:rsidRDefault="00F53E30" w:rsidP="00F53E30">
      <w:pPr>
        <w:ind w:firstLine="720"/>
        <w:jc w:val="both"/>
      </w:pPr>
    </w:p>
    <w:p w14:paraId="218D623A" w14:textId="77777777" w:rsidR="00F53E30" w:rsidRPr="00DB1562" w:rsidRDefault="00F53E30" w:rsidP="00F53E30">
      <w:pPr>
        <w:ind w:firstLine="720"/>
        <w:jc w:val="both"/>
      </w:pPr>
      <w:r w:rsidRPr="00DB1562">
        <w:t>From at least 2014 through present, Elizabeth “Betsy” Gardner worked as a community liaison for the Presiden</w:t>
      </w:r>
      <w:r>
        <w:t>t of the Baltimore City Council, a position that made her a public official. In her capacity as community liaison, Ms. Garner</w:t>
      </w:r>
      <w:r w:rsidRPr="00DB1562">
        <w:t xml:space="preserve"> developed a relationship with different constituent groups in order to best provide constituent services. Ms. Gardner would work with different individuals and organizations throughout the city and connect those organizations with city services. She would also attend meetings for these organizations and report issues or concerns to her superiors at City Hall if required. </w:t>
      </w:r>
    </w:p>
    <w:p w14:paraId="3CCF8720" w14:textId="7034CAFA" w:rsidR="00F53E30" w:rsidRPr="00DB1562" w:rsidRDefault="00F53E30" w:rsidP="00F53E30">
      <w:pPr>
        <w:ind w:firstLine="720"/>
        <w:jc w:val="both"/>
      </w:pPr>
      <w:r w:rsidRPr="00DB1562">
        <w:t xml:space="preserve">One of the organizations Ms. Gardner was assigned to work with in her capacity as a community liaison was the Mt. Washington Merchant’s Association. Ms. Gardner does not own a business in Mt. Washington and engaged with this organization in her professional capacity. Over time, Ms. Gardner was retained by the organization for the purpose of event planning and received other gifts/payments from the organization. </w:t>
      </w:r>
    </w:p>
    <w:p w14:paraId="007FA3E1" w14:textId="77777777" w:rsidR="00F53E30" w:rsidRPr="00DB1562" w:rsidRDefault="00F53E30" w:rsidP="00F53E30">
      <w:pPr>
        <w:ind w:firstLine="720"/>
        <w:jc w:val="both"/>
      </w:pPr>
      <w:r w:rsidRPr="00DB1562">
        <w:t xml:space="preserve">Every year, Ms. Gardner was required to fill out financial disclosures with the City of Baltimore. In April of 2017 despite her bank records showing that she received $7200 dollars from the Mt. Washington Merchant’s Association over the time of the reporting period, Ms. Gardner did not report any income from the organization. Ms. Gardner was required to report this income through SCHEDULE 7: OTHER SOURCES OF EARNED INCOME, which requires disclosure of the individual was a compensated employee of someone other than the City, an owner (sole or partial) of a business entity; or a recipient of earned income from a business entity. Ms. Gardner signed this form without disclosing her financial relationship with Mt. Washington Merchant’s Association under the penalty of perjury. </w:t>
      </w:r>
    </w:p>
    <w:p w14:paraId="1CF177AE" w14:textId="77777777" w:rsidR="00F53E30" w:rsidRPr="00DB1562" w:rsidRDefault="00F53E30" w:rsidP="00F53E30">
      <w:pPr>
        <w:ind w:firstLine="720"/>
        <w:jc w:val="both"/>
      </w:pPr>
      <w:r w:rsidRPr="00DB1562">
        <w:t xml:space="preserve">From 2014 until 2017 Ms. Gardner received approximately $15,000 dollars from Mt. Washington Merchant’s Association that she failed to disclose under the penalty of perjury on any of her financial disclosure forms as required by Baltimore City. </w:t>
      </w:r>
    </w:p>
    <w:p w14:paraId="031DB713" w14:textId="77777777" w:rsidR="00F53E30" w:rsidRPr="00DB1562" w:rsidRDefault="00F53E30" w:rsidP="00F53E30">
      <w:pPr>
        <w:ind w:firstLine="720"/>
        <w:jc w:val="both"/>
      </w:pPr>
      <w:r w:rsidRPr="00DB1562">
        <w:t xml:space="preserve">If called to testify, the prior president of the Mt. Washington Merchant’s Association Greg Armstrong would authenticate the payments from the Mt. Washington Merchant’s Association and confirm that Ms. Gardner was the recipient of those payments. All events occurred in Baltimore City, Maryland. </w:t>
      </w:r>
    </w:p>
    <w:p w14:paraId="2605182A" w14:textId="77777777" w:rsidR="00F53E30" w:rsidRDefault="00F53E30" w:rsidP="00F53E30"/>
    <w:p w14:paraId="1A6B48C6" w14:textId="77777777" w:rsidR="00F53E30" w:rsidRDefault="00F53E30" w:rsidP="002F0B68"/>
    <w:sectPr w:rsidR="00F53E30" w:rsidSect="002F0B6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B2AC" w14:textId="77777777" w:rsidR="002F0B68" w:rsidRDefault="002F0B68" w:rsidP="002F0B68">
      <w:pPr>
        <w:spacing w:after="0" w:line="240" w:lineRule="auto"/>
      </w:pPr>
      <w:r>
        <w:separator/>
      </w:r>
    </w:p>
  </w:endnote>
  <w:endnote w:type="continuationSeparator" w:id="0">
    <w:p w14:paraId="5B4BD508" w14:textId="77777777" w:rsidR="002F0B68" w:rsidRDefault="002F0B68" w:rsidP="002F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7FA4" w14:textId="77777777" w:rsidR="002F0B68" w:rsidRDefault="002F0B68" w:rsidP="002F0B68">
      <w:pPr>
        <w:spacing w:after="0" w:line="240" w:lineRule="auto"/>
      </w:pPr>
      <w:r>
        <w:separator/>
      </w:r>
    </w:p>
  </w:footnote>
  <w:footnote w:type="continuationSeparator" w:id="0">
    <w:p w14:paraId="79D1CB21" w14:textId="77777777" w:rsidR="002F0B68" w:rsidRDefault="002F0B68" w:rsidP="002F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3F1D" w14:textId="77777777" w:rsidR="002F0B68" w:rsidRDefault="002F0B68">
    <w:pPr>
      <w:pStyle w:val="Header"/>
    </w:pPr>
  </w:p>
  <w:p w14:paraId="73330D0E" w14:textId="77777777" w:rsidR="002F0B68" w:rsidRDefault="002F0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870"/>
      <w:gridCol w:w="2690"/>
    </w:tblGrid>
    <w:tr w:rsidR="002F0B68" w:rsidRPr="00F34AAF" w14:paraId="0EA0CFB5" w14:textId="77777777" w:rsidTr="00085D92">
      <w:tc>
        <w:tcPr>
          <w:tcW w:w="2790" w:type="dxa"/>
        </w:tcPr>
        <w:p w14:paraId="01D04B77" w14:textId="77777777" w:rsidR="002F0B68" w:rsidRPr="004013B6" w:rsidRDefault="002F0B68" w:rsidP="002F0B68">
          <w:pPr>
            <w:pStyle w:val="NoSpacing"/>
            <w:spacing w:line="256" w:lineRule="auto"/>
            <w:jc w:val="center"/>
            <w:rPr>
              <w:color w:val="44546A" w:themeColor="text2"/>
              <w:sz w:val="12"/>
              <w:szCs w:val="16"/>
            </w:rPr>
          </w:pPr>
        </w:p>
        <w:p w14:paraId="2EEBBFD7" w14:textId="77777777" w:rsidR="002F0B68" w:rsidRPr="00893EB4" w:rsidRDefault="002F0B68" w:rsidP="002F0B68">
          <w:pPr>
            <w:pStyle w:val="NoSpacing"/>
            <w:spacing w:line="256" w:lineRule="auto"/>
            <w:jc w:val="center"/>
            <w:rPr>
              <w:color w:val="44546A" w:themeColor="text2"/>
              <w:sz w:val="16"/>
              <w:szCs w:val="16"/>
            </w:rPr>
          </w:pPr>
          <w:r w:rsidRPr="00893EB4">
            <w:rPr>
              <w:color w:val="44546A" w:themeColor="text2"/>
              <w:sz w:val="16"/>
              <w:szCs w:val="16"/>
            </w:rPr>
            <w:t>CHARLTON T. HOWARD, III</w:t>
          </w:r>
        </w:p>
        <w:p w14:paraId="252B6A02" w14:textId="77777777" w:rsidR="002F0B68" w:rsidRPr="00893EB4" w:rsidRDefault="002F0B68" w:rsidP="002F0B68">
          <w:pPr>
            <w:pStyle w:val="NoSpacing"/>
            <w:spacing w:line="256" w:lineRule="auto"/>
            <w:jc w:val="center"/>
            <w:rPr>
              <w:color w:val="44546A" w:themeColor="text2"/>
              <w:sz w:val="16"/>
              <w:szCs w:val="16"/>
            </w:rPr>
          </w:pPr>
          <w:r w:rsidRPr="00893EB4">
            <w:rPr>
              <w:color w:val="44546A" w:themeColor="text2"/>
              <w:sz w:val="16"/>
              <w:szCs w:val="16"/>
            </w:rPr>
            <w:t>State Prosecutor</w:t>
          </w:r>
        </w:p>
        <w:p w14:paraId="0D8EA379" w14:textId="77777777" w:rsidR="002F0B68" w:rsidRPr="004013B6" w:rsidRDefault="002F0B68" w:rsidP="002F0B68">
          <w:pPr>
            <w:pStyle w:val="NoSpacing"/>
            <w:spacing w:line="256" w:lineRule="auto"/>
            <w:jc w:val="center"/>
            <w:rPr>
              <w:color w:val="44546A" w:themeColor="text2"/>
              <w:sz w:val="10"/>
              <w:szCs w:val="16"/>
            </w:rPr>
          </w:pPr>
        </w:p>
        <w:p w14:paraId="34221D25" w14:textId="77777777" w:rsidR="002F0B68" w:rsidRPr="00893EB4" w:rsidRDefault="002F0B68" w:rsidP="002F0B68">
          <w:pPr>
            <w:pStyle w:val="NoSpacing"/>
            <w:spacing w:line="256" w:lineRule="auto"/>
            <w:jc w:val="center"/>
            <w:rPr>
              <w:color w:val="44546A" w:themeColor="text2"/>
              <w:sz w:val="16"/>
              <w:szCs w:val="16"/>
            </w:rPr>
          </w:pPr>
          <w:r w:rsidRPr="00893EB4">
            <w:rPr>
              <w:color w:val="44546A" w:themeColor="text2"/>
              <w:sz w:val="16"/>
              <w:szCs w:val="16"/>
            </w:rPr>
            <w:t>SARAH R. DAVID</w:t>
          </w:r>
        </w:p>
        <w:p w14:paraId="1BC4D329" w14:textId="77777777" w:rsidR="002F0B68" w:rsidRPr="00893EB4" w:rsidRDefault="002F0B68" w:rsidP="002F0B68">
          <w:pPr>
            <w:pStyle w:val="NoSpacing"/>
            <w:spacing w:line="256" w:lineRule="auto"/>
            <w:jc w:val="center"/>
            <w:rPr>
              <w:color w:val="44546A" w:themeColor="text2"/>
              <w:sz w:val="16"/>
              <w:szCs w:val="16"/>
            </w:rPr>
          </w:pPr>
          <w:r w:rsidRPr="00893EB4">
            <w:rPr>
              <w:color w:val="44546A" w:themeColor="text2"/>
              <w:sz w:val="16"/>
              <w:szCs w:val="16"/>
            </w:rPr>
            <w:t>CHARLES M. BLOMQUIST</w:t>
          </w:r>
        </w:p>
        <w:p w14:paraId="68E580A4" w14:textId="77777777" w:rsidR="002F0B68" w:rsidRPr="00893EB4" w:rsidRDefault="002F0B68" w:rsidP="002F0B68">
          <w:pPr>
            <w:pStyle w:val="NoSpacing"/>
            <w:spacing w:line="256" w:lineRule="auto"/>
            <w:jc w:val="center"/>
            <w:rPr>
              <w:color w:val="44546A" w:themeColor="text2"/>
              <w:sz w:val="16"/>
              <w:szCs w:val="16"/>
            </w:rPr>
          </w:pPr>
          <w:r w:rsidRPr="00893EB4">
            <w:rPr>
              <w:color w:val="44546A" w:themeColor="text2"/>
              <w:sz w:val="16"/>
              <w:szCs w:val="16"/>
            </w:rPr>
            <w:t>Deputy State Prosecutor</w:t>
          </w:r>
          <w:r>
            <w:rPr>
              <w:color w:val="44546A" w:themeColor="text2"/>
              <w:sz w:val="16"/>
              <w:szCs w:val="16"/>
            </w:rPr>
            <w:t>s</w:t>
          </w:r>
        </w:p>
        <w:p w14:paraId="47850EFC" w14:textId="77777777" w:rsidR="002F0B68" w:rsidRPr="004013B6" w:rsidRDefault="002F0B68" w:rsidP="002F0B68">
          <w:pPr>
            <w:pStyle w:val="NoSpacing"/>
            <w:spacing w:line="256" w:lineRule="auto"/>
            <w:jc w:val="center"/>
            <w:rPr>
              <w:color w:val="44546A" w:themeColor="text2"/>
              <w:sz w:val="10"/>
              <w:szCs w:val="16"/>
            </w:rPr>
          </w:pPr>
        </w:p>
        <w:p w14:paraId="569CB99B" w14:textId="77777777" w:rsidR="002F0B68" w:rsidRDefault="002F0B68" w:rsidP="002F0B68">
          <w:pPr>
            <w:jc w:val="center"/>
            <w:rPr>
              <w:color w:val="44546A" w:themeColor="text2"/>
              <w:sz w:val="16"/>
              <w:szCs w:val="16"/>
            </w:rPr>
          </w:pPr>
          <w:r w:rsidRPr="00893EB4">
            <w:rPr>
              <w:color w:val="44546A" w:themeColor="text2"/>
              <w:sz w:val="16"/>
              <w:szCs w:val="16"/>
            </w:rPr>
            <w:t>LINDSAY E. BIRD</w:t>
          </w:r>
        </w:p>
        <w:p w14:paraId="558943E7" w14:textId="77777777" w:rsidR="00846C22" w:rsidRPr="00893EB4" w:rsidRDefault="00846C22" w:rsidP="002F0B68">
          <w:pPr>
            <w:jc w:val="center"/>
            <w:rPr>
              <w:color w:val="44546A" w:themeColor="text2"/>
              <w:sz w:val="16"/>
              <w:szCs w:val="16"/>
            </w:rPr>
          </w:pPr>
          <w:r>
            <w:rPr>
              <w:color w:val="44546A" w:themeColor="text2"/>
              <w:sz w:val="16"/>
              <w:szCs w:val="16"/>
            </w:rPr>
            <w:t>LETAM DUSON</w:t>
          </w:r>
        </w:p>
        <w:p w14:paraId="0DFED188" w14:textId="77777777" w:rsidR="002F0B68" w:rsidRPr="00846C22" w:rsidRDefault="002F0B68" w:rsidP="00846C22">
          <w:pPr>
            <w:jc w:val="center"/>
            <w:rPr>
              <w:color w:val="44546A" w:themeColor="text2"/>
              <w:sz w:val="16"/>
              <w:szCs w:val="16"/>
            </w:rPr>
          </w:pPr>
          <w:r w:rsidRPr="00893EB4">
            <w:rPr>
              <w:color w:val="44546A" w:themeColor="text2"/>
              <w:sz w:val="16"/>
              <w:szCs w:val="16"/>
            </w:rPr>
            <w:t>Senior Assistant State Prosecutor</w:t>
          </w:r>
          <w:r w:rsidR="00846C22">
            <w:rPr>
              <w:color w:val="44546A" w:themeColor="text2"/>
              <w:sz w:val="16"/>
              <w:szCs w:val="16"/>
            </w:rPr>
            <w:t>s</w:t>
          </w:r>
        </w:p>
      </w:tc>
      <w:tc>
        <w:tcPr>
          <w:tcW w:w="3870" w:type="dxa"/>
        </w:tcPr>
        <w:p w14:paraId="03B9155E" w14:textId="77777777" w:rsidR="002F0B68" w:rsidRPr="000B340F" w:rsidRDefault="002F0B68" w:rsidP="002F0B68">
          <w:pPr>
            <w:pStyle w:val="NoSpacing"/>
            <w:spacing w:line="256" w:lineRule="auto"/>
            <w:jc w:val="center"/>
            <w:rPr>
              <w:b/>
              <w:color w:val="44546A" w:themeColor="text2"/>
              <w:sz w:val="24"/>
              <w:szCs w:val="24"/>
            </w:rPr>
          </w:pPr>
          <w:r w:rsidRPr="000B340F">
            <w:rPr>
              <w:b/>
              <w:color w:val="44546A" w:themeColor="text2"/>
              <w:sz w:val="24"/>
              <w:szCs w:val="24"/>
            </w:rPr>
            <w:t>STATE OF MARYLAND</w:t>
          </w:r>
        </w:p>
        <w:p w14:paraId="6E756B25" w14:textId="77777777" w:rsidR="002F0B68" w:rsidRPr="00331FBC" w:rsidRDefault="002F0B68" w:rsidP="002F0B68">
          <w:pPr>
            <w:pStyle w:val="NoSpacing"/>
            <w:spacing w:line="256" w:lineRule="auto"/>
            <w:jc w:val="center"/>
            <w:rPr>
              <w:b/>
              <w:color w:val="44546A" w:themeColor="text2"/>
            </w:rPr>
          </w:pPr>
          <w:r w:rsidRPr="00331FBC">
            <w:rPr>
              <w:b/>
              <w:noProof/>
              <w:color w:val="44546A" w:themeColor="text2"/>
            </w:rPr>
            <w:drawing>
              <wp:inline distT="0" distB="0" distL="0" distR="0" wp14:anchorId="2D956770" wp14:editId="57ADF181">
                <wp:extent cx="895350" cy="895350"/>
                <wp:effectExtent l="0" t="0" r="0" b="0"/>
                <wp:docPr id="2" name="Picture 2" descr="great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299C6CE5" w14:textId="77777777" w:rsidR="002F0B68" w:rsidRPr="00893EB4" w:rsidRDefault="002F0B68" w:rsidP="002F0B68">
          <w:pPr>
            <w:pStyle w:val="NoSpacing"/>
            <w:spacing w:line="256" w:lineRule="auto"/>
            <w:jc w:val="center"/>
            <w:rPr>
              <w:rFonts w:eastAsia="Arial Unicode MS" w:cs="Arial Unicode MS"/>
              <w:b/>
              <w:color w:val="44546A" w:themeColor="text2"/>
              <w:sz w:val="24"/>
              <w:szCs w:val="24"/>
            </w:rPr>
          </w:pPr>
          <w:r w:rsidRPr="00893EB4">
            <w:rPr>
              <w:rFonts w:eastAsia="Arial Unicode MS" w:cs="Arial Unicode MS"/>
              <w:b/>
              <w:color w:val="44546A" w:themeColor="text2"/>
              <w:sz w:val="24"/>
              <w:szCs w:val="24"/>
            </w:rPr>
            <w:t>OFFICE OF</w:t>
          </w:r>
        </w:p>
        <w:p w14:paraId="710A49CE" w14:textId="77777777" w:rsidR="002F0B68" w:rsidRPr="00331FBC" w:rsidRDefault="002F0B68" w:rsidP="002F0B68">
          <w:pPr>
            <w:jc w:val="center"/>
            <w:rPr>
              <w:rFonts w:ascii="Times New Roman" w:hAnsi="Times New Roman" w:cs="Times New Roman"/>
              <w:b/>
            </w:rPr>
          </w:pPr>
          <w:r w:rsidRPr="00893EB4">
            <w:rPr>
              <w:rFonts w:eastAsia="Arial Unicode MS" w:cs="Arial Unicode MS"/>
              <w:b/>
              <w:color w:val="44546A" w:themeColor="text2"/>
              <w:sz w:val="24"/>
              <w:szCs w:val="24"/>
            </w:rPr>
            <w:t>THE STATE PROSECUTOR</w:t>
          </w:r>
        </w:p>
      </w:tc>
      <w:tc>
        <w:tcPr>
          <w:tcW w:w="2690" w:type="dxa"/>
        </w:tcPr>
        <w:p w14:paraId="32BE6204" w14:textId="77777777" w:rsidR="002F0B68" w:rsidRDefault="002F0B68" w:rsidP="002F0B68">
          <w:pPr>
            <w:pStyle w:val="NoSpacing"/>
            <w:spacing w:line="256" w:lineRule="auto"/>
            <w:jc w:val="right"/>
            <w:rPr>
              <w:rFonts w:ascii="Calibri" w:hAnsi="Calibri" w:cs="Calibri"/>
              <w:color w:val="44546A" w:themeColor="text2"/>
              <w:sz w:val="16"/>
              <w:szCs w:val="16"/>
            </w:rPr>
          </w:pPr>
        </w:p>
        <w:p w14:paraId="4CC308CC" w14:textId="77777777" w:rsidR="002F0B68" w:rsidRDefault="002F0B68" w:rsidP="002F0B68">
          <w:pPr>
            <w:pStyle w:val="NoSpacing"/>
            <w:spacing w:line="256" w:lineRule="auto"/>
            <w:jc w:val="right"/>
            <w:rPr>
              <w:rFonts w:ascii="Calibri" w:hAnsi="Calibri" w:cs="Calibri"/>
              <w:color w:val="44546A" w:themeColor="text2"/>
              <w:sz w:val="16"/>
              <w:szCs w:val="16"/>
            </w:rPr>
          </w:pPr>
        </w:p>
        <w:p w14:paraId="71354FAD" w14:textId="77777777" w:rsidR="002F0B68" w:rsidRPr="00893EB4" w:rsidRDefault="002F0B68" w:rsidP="002F0B68">
          <w:pPr>
            <w:pStyle w:val="NoSpacing"/>
            <w:spacing w:line="276" w:lineRule="auto"/>
            <w:jc w:val="right"/>
            <w:rPr>
              <w:rFonts w:ascii="Calibri" w:hAnsi="Calibri" w:cs="Calibri"/>
              <w:color w:val="44546A" w:themeColor="text2"/>
              <w:sz w:val="16"/>
              <w:szCs w:val="16"/>
            </w:rPr>
          </w:pPr>
          <w:r w:rsidRPr="00893EB4">
            <w:rPr>
              <w:rFonts w:ascii="Calibri" w:hAnsi="Calibri" w:cs="Calibri"/>
              <w:color w:val="44546A" w:themeColor="text2"/>
              <w:sz w:val="16"/>
              <w:szCs w:val="16"/>
            </w:rPr>
            <w:t>Hampton Plaza</w:t>
          </w:r>
        </w:p>
        <w:p w14:paraId="253E8A53" w14:textId="77777777" w:rsidR="002F0B68" w:rsidRPr="00893EB4" w:rsidRDefault="002F0B68" w:rsidP="002F0B68">
          <w:pPr>
            <w:pStyle w:val="NoSpacing"/>
            <w:spacing w:line="276" w:lineRule="auto"/>
            <w:jc w:val="right"/>
            <w:rPr>
              <w:rFonts w:ascii="Calibri" w:hAnsi="Calibri" w:cs="Calibri"/>
              <w:color w:val="44546A" w:themeColor="text2"/>
              <w:sz w:val="16"/>
              <w:szCs w:val="16"/>
            </w:rPr>
          </w:pPr>
          <w:r w:rsidRPr="00893EB4">
            <w:rPr>
              <w:rFonts w:ascii="Calibri" w:hAnsi="Calibri" w:cs="Calibri"/>
              <w:color w:val="44546A" w:themeColor="text2"/>
              <w:sz w:val="16"/>
              <w:szCs w:val="16"/>
            </w:rPr>
            <w:t>Suite 410</w:t>
          </w:r>
        </w:p>
        <w:p w14:paraId="6B4D49F9" w14:textId="77777777" w:rsidR="002F0B68" w:rsidRPr="00893EB4" w:rsidRDefault="002F0B68" w:rsidP="002F0B68">
          <w:pPr>
            <w:pStyle w:val="NoSpacing"/>
            <w:spacing w:line="276" w:lineRule="auto"/>
            <w:jc w:val="right"/>
            <w:rPr>
              <w:rFonts w:ascii="Calibri" w:hAnsi="Calibri" w:cs="Calibri"/>
              <w:color w:val="44546A" w:themeColor="text2"/>
              <w:sz w:val="16"/>
              <w:szCs w:val="16"/>
            </w:rPr>
          </w:pPr>
          <w:r w:rsidRPr="00893EB4">
            <w:rPr>
              <w:rFonts w:ascii="Calibri" w:hAnsi="Calibri" w:cs="Calibri"/>
              <w:color w:val="44546A" w:themeColor="text2"/>
              <w:sz w:val="16"/>
              <w:szCs w:val="16"/>
            </w:rPr>
            <w:t>300 East Joppa Road</w:t>
          </w:r>
        </w:p>
        <w:p w14:paraId="0F1BBBAA" w14:textId="77777777" w:rsidR="002F0B68" w:rsidRPr="00893EB4" w:rsidRDefault="002F0B68" w:rsidP="002F0B68">
          <w:pPr>
            <w:pStyle w:val="NoSpacing"/>
            <w:spacing w:line="276" w:lineRule="auto"/>
            <w:jc w:val="right"/>
            <w:rPr>
              <w:rFonts w:ascii="Calibri" w:hAnsi="Calibri" w:cs="Calibri"/>
              <w:color w:val="44546A" w:themeColor="text2"/>
              <w:sz w:val="16"/>
              <w:szCs w:val="16"/>
            </w:rPr>
          </w:pPr>
          <w:r w:rsidRPr="00893EB4">
            <w:rPr>
              <w:rFonts w:ascii="Calibri" w:hAnsi="Calibri" w:cs="Calibri"/>
              <w:color w:val="44546A" w:themeColor="text2"/>
              <w:sz w:val="16"/>
              <w:szCs w:val="16"/>
            </w:rPr>
            <w:t>Towson, MD 21286-3152</w:t>
          </w:r>
        </w:p>
        <w:p w14:paraId="35FB12F2" w14:textId="77777777" w:rsidR="002F0B68" w:rsidRPr="00893EB4" w:rsidRDefault="002F0B68" w:rsidP="002F0B68">
          <w:pPr>
            <w:pStyle w:val="NoSpacing"/>
            <w:spacing w:line="276" w:lineRule="auto"/>
            <w:jc w:val="right"/>
            <w:rPr>
              <w:rFonts w:ascii="Calibri" w:hAnsi="Calibri" w:cs="Calibri"/>
              <w:color w:val="44546A" w:themeColor="text2"/>
              <w:sz w:val="16"/>
              <w:szCs w:val="16"/>
            </w:rPr>
          </w:pPr>
          <w:r w:rsidRPr="00893EB4">
            <w:rPr>
              <w:rFonts w:ascii="Calibri" w:hAnsi="Calibri" w:cs="Calibri"/>
              <w:color w:val="44546A" w:themeColor="text2"/>
              <w:sz w:val="16"/>
              <w:szCs w:val="16"/>
            </w:rPr>
            <w:t>Telephone (410) 321-4067</w:t>
          </w:r>
        </w:p>
        <w:p w14:paraId="7C128B80" w14:textId="77777777" w:rsidR="002F0B68" w:rsidRPr="00893EB4" w:rsidRDefault="002F0B68" w:rsidP="002F0B68">
          <w:pPr>
            <w:pStyle w:val="NoSpacing"/>
            <w:spacing w:line="276" w:lineRule="auto"/>
            <w:jc w:val="right"/>
            <w:rPr>
              <w:rFonts w:ascii="Calibri" w:hAnsi="Calibri" w:cs="Calibri"/>
              <w:color w:val="44546A" w:themeColor="text2"/>
              <w:sz w:val="16"/>
              <w:szCs w:val="16"/>
            </w:rPr>
          </w:pPr>
          <w:r w:rsidRPr="00893EB4">
            <w:rPr>
              <w:rFonts w:ascii="Calibri" w:hAnsi="Calibri" w:cs="Calibri"/>
              <w:color w:val="44546A" w:themeColor="text2"/>
              <w:sz w:val="16"/>
              <w:szCs w:val="16"/>
            </w:rPr>
            <w:t>1 (800) 695-4058</w:t>
          </w:r>
        </w:p>
        <w:p w14:paraId="6E7EB98A" w14:textId="77777777" w:rsidR="002F0B68" w:rsidRPr="00893EB4" w:rsidRDefault="002F0B68" w:rsidP="002F0B68">
          <w:pPr>
            <w:spacing w:line="276" w:lineRule="auto"/>
            <w:jc w:val="right"/>
            <w:rPr>
              <w:rFonts w:ascii="Calibri" w:hAnsi="Calibri" w:cs="Calibri"/>
              <w:color w:val="44546A" w:themeColor="text2"/>
              <w:sz w:val="16"/>
              <w:szCs w:val="16"/>
            </w:rPr>
          </w:pPr>
          <w:r w:rsidRPr="00893EB4">
            <w:rPr>
              <w:rFonts w:ascii="Calibri" w:hAnsi="Calibri" w:cs="Calibri"/>
              <w:color w:val="44546A" w:themeColor="text2"/>
              <w:sz w:val="16"/>
              <w:szCs w:val="16"/>
            </w:rPr>
            <w:t>Fax (410) 321-3851</w:t>
          </w:r>
        </w:p>
      </w:tc>
    </w:tr>
  </w:tbl>
  <w:p w14:paraId="4A4D0DDF" w14:textId="77777777" w:rsidR="002F0B68" w:rsidRDefault="002F0B68" w:rsidP="002F0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68"/>
    <w:rsid w:val="0008591F"/>
    <w:rsid w:val="002F0B68"/>
    <w:rsid w:val="00846C22"/>
    <w:rsid w:val="00DE06A4"/>
    <w:rsid w:val="00E740D2"/>
    <w:rsid w:val="00F53E30"/>
    <w:rsid w:val="00F8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23C3"/>
  <w15:chartTrackingRefBased/>
  <w15:docId w15:val="{6FC3872F-2D1C-4206-B9E3-3AD88687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B68"/>
  </w:style>
  <w:style w:type="paragraph" w:styleId="Footer">
    <w:name w:val="footer"/>
    <w:basedOn w:val="Normal"/>
    <w:link w:val="FooterChar"/>
    <w:uiPriority w:val="99"/>
    <w:unhideWhenUsed/>
    <w:rsid w:val="002F0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B68"/>
  </w:style>
  <w:style w:type="paragraph" w:styleId="NoSpacing">
    <w:name w:val="No Spacing"/>
    <w:uiPriority w:val="1"/>
    <w:qFormat/>
    <w:rsid w:val="002F0B68"/>
    <w:pPr>
      <w:spacing w:after="0" w:line="240" w:lineRule="auto"/>
    </w:pPr>
  </w:style>
  <w:style w:type="table" w:styleId="TableGrid">
    <w:name w:val="Table Grid"/>
    <w:basedOn w:val="TableNormal"/>
    <w:uiPriority w:val="39"/>
    <w:rsid w:val="002F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28CED-ADE6-4DC2-814A-78DB36B7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Genie Gunthrop</cp:lastModifiedBy>
  <cp:revision>2</cp:revision>
  <dcterms:created xsi:type="dcterms:W3CDTF">2021-07-26T20:19:00Z</dcterms:created>
  <dcterms:modified xsi:type="dcterms:W3CDTF">2021-07-26T20:19:00Z</dcterms:modified>
</cp:coreProperties>
</file>